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417" w:lineRule="exact"/>
        <w:ind w:left="604"/>
        <w:rPr>
          <w:rFonts w:hint="default"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5"/>
          <w:position w:val="1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Times New Roman" w:cs="Times New Roman"/>
          <w:spacing w:val="-5"/>
          <w:position w:val="1"/>
          <w:sz w:val="31"/>
          <w:szCs w:val="31"/>
          <w:lang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7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参加中国水产学会科技论文评价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7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的期刊分区目录及可推荐论文数量</w:t>
      </w:r>
    </w:p>
    <w:p>
      <w:pPr>
        <w:spacing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600" w:lineRule="exact"/>
        <w:ind w:left="0" w:right="0" w:firstLine="714" w:firstLineChars="200"/>
        <w:jc w:val="both"/>
        <w:textAlignment w:val="baseline"/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22"/>
          <w:w w:val="98"/>
          <w:sz w:val="32"/>
          <w:szCs w:val="32"/>
          <w:lang w:eastAsia="zh-CN"/>
        </w:rPr>
        <w:t>参加中国水产学会年度科技论文评价的论文来自中国</w:t>
      </w:r>
      <w:r>
        <w:rPr>
          <w:rFonts w:hint="default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水产学会期刊分会会员期刊，期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刊分区</w:t>
      </w:r>
      <w:r>
        <w:rPr>
          <w:rFonts w:hint="default" w:ascii="Times New Roman" w:hAnsi="Times New Roman" w:eastAsia="仿宋_GB2312" w:cs="Times New Roman"/>
          <w:spacing w:val="22"/>
          <w:w w:val="98"/>
          <w:sz w:val="32"/>
          <w:szCs w:val="32"/>
          <w:lang w:eastAsia="zh-CN"/>
        </w:rPr>
        <w:t>参考</w:t>
      </w:r>
      <w:r>
        <w:rPr>
          <w:rFonts w:hint="eastAsia" w:ascii="Times New Roman" w:hAnsi="Times New Roman" w:eastAsia="仿宋_GB2312" w:cs="Times New Roman"/>
          <w:spacing w:val="16"/>
          <w:w w:val="98"/>
          <w:sz w:val="32"/>
          <w:szCs w:val="32"/>
          <w:lang w:val="en-US" w:eastAsia="zh"/>
        </w:rPr>
        <w:t>2023</w:t>
      </w:r>
      <w:r>
        <w:rPr>
          <w:rFonts w:hint="default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pacing w:val="5"/>
          <w:w w:val="98"/>
          <w:sz w:val="32"/>
          <w:szCs w:val="32"/>
          <w:lang w:eastAsia="zh-CN"/>
        </w:rPr>
        <w:t>国学术期刊影响因子年报（自然科学与工程技术）</w:t>
      </w:r>
      <w:r>
        <w:rPr>
          <w:rFonts w:hint="eastAsia" w:ascii="Times New Roman" w:hAnsi="Times New Roman" w:eastAsia="仿宋_GB2312" w:cs="Times New Roman"/>
          <w:spacing w:val="16"/>
          <w:w w:val="98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pacing w:val="5"/>
          <w:w w:val="98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pacing w:val="8"/>
          <w:w w:val="98"/>
          <w:sz w:val="32"/>
          <w:szCs w:val="32"/>
          <w:lang w:eastAsia="zh-CN"/>
        </w:rPr>
        <w:t>年第21卷</w:t>
      </w:r>
      <w:r>
        <w:rPr>
          <w:rFonts w:hint="eastAsia" w:ascii="Times New Roman" w:hAnsi="Times New Roman" w:eastAsia="仿宋_GB2312" w:cs="Times New Roman"/>
          <w:spacing w:val="5"/>
          <w:w w:val="98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8"/>
          <w:w w:val="98"/>
          <w:sz w:val="32"/>
          <w:szCs w:val="32"/>
          <w:lang w:eastAsia="zh-CN"/>
        </w:rPr>
        <w:t>。</w:t>
      </w:r>
    </w:p>
    <w:p>
      <w:pPr>
        <w:spacing w:beforeAutospacing="0" w:line="224" w:lineRule="auto"/>
        <w:ind w:left="1850"/>
        <w:rPr>
          <w:rFonts w:hint="default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6"/>
          <w:sz w:val="31"/>
          <w:szCs w:val="31"/>
          <w:lang w:eastAsia="zh-CN"/>
        </w:rPr>
        <w:t>参评期刊分区名录及推荐论文数量分配表</w:t>
      </w:r>
    </w:p>
    <w:p>
      <w:pPr>
        <w:spacing w:line="172" w:lineRule="exact"/>
        <w:rPr>
          <w:rFonts w:hint="default" w:ascii="Times New Roman" w:hAnsi="Times New Roman" w:eastAsia="宋体" w:cs="Times New Roman"/>
          <w:szCs w:val="22"/>
          <w:lang w:eastAsia="zh-CN"/>
        </w:rPr>
      </w:pPr>
    </w:p>
    <w:tbl>
      <w:tblPr>
        <w:tblStyle w:val="21"/>
        <w:tblW w:w="93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6375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80" w:type="dxa"/>
            <w:noWrap w:val="0"/>
            <w:vAlign w:val="top"/>
          </w:tcPr>
          <w:p>
            <w:pPr>
              <w:spacing w:before="143" w:line="283" w:lineRule="auto"/>
              <w:ind w:left="272" w:right="156" w:hanging="104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期刊分区</w:t>
            </w:r>
            <w:r>
              <w:rPr>
                <w:rFonts w:hint="default" w:ascii="Times New Roman" w:hAnsi="Times New Roman" w:eastAsia="黑体" w:cs="Times New Roman"/>
                <w:spacing w:val="-21"/>
                <w:sz w:val="24"/>
                <w:szCs w:val="24"/>
              </w:rPr>
              <w:t>（种）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pStyle w:val="22"/>
              <w:spacing w:line="283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78" w:line="239" w:lineRule="auto"/>
              <w:ind w:left="271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期刊名录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before="143" w:line="283" w:lineRule="auto"/>
              <w:ind w:left="379" w:right="131" w:hanging="240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eastAsia="zh-CN"/>
              </w:rPr>
              <w:t>可推荐论文数</w:t>
            </w:r>
            <w:r>
              <w:rPr>
                <w:rFonts w:hint="default" w:ascii="Times New Roman" w:hAnsi="Times New Roman" w:eastAsia="黑体" w:cs="Times New Roman"/>
                <w:spacing w:val="-19"/>
                <w:sz w:val="24"/>
                <w:szCs w:val="24"/>
                <w:lang w:eastAsia="zh-CN"/>
              </w:rPr>
              <w:t>量（篇）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before="65" w:line="220" w:lineRule="auto"/>
              <w:jc w:val="center"/>
              <w:rPr>
                <w:rFonts w:hint="default" w:ascii="Times New Roman" w:hAnsi="Times New Roman" w:eastAsia="FangSong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0"/>
                <w:szCs w:val="20"/>
              </w:rPr>
              <w:t>Q1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4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before="199" w:line="292" w:lineRule="auto"/>
              <w:ind w:left="90"/>
              <w:jc w:val="left"/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0"/>
                <w:szCs w:val="20"/>
                <w:lang w:eastAsia="zh-CN"/>
              </w:rPr>
              <w:t>《水产学报》《中国水产科学》《水生生物学报》《水生态学杂志》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《大连海洋大学学报》</w:t>
            </w:r>
            <w:r>
              <w:rPr>
                <w:rFonts w:hint="default" w:ascii="Times New Roman" w:hAnsi="Times New Roman" w:eastAsia="微软雅黑" w:cs="Times New Roman"/>
                <w:spacing w:val="12"/>
                <w:sz w:val="20"/>
                <w:szCs w:val="20"/>
                <w:lang w:eastAsia="zh-CN"/>
              </w:rPr>
              <w:t>《南方农业学报》《海洋学报》《海洋与湖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20"/>
                <w:szCs w:val="20"/>
                <w:lang w:eastAsia="zh-CN"/>
              </w:rPr>
              <w:t>沼》《海洋环境科学》《海洋科学》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before="58" w:line="195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before="65" w:line="220" w:lineRule="auto"/>
              <w:jc w:val="center"/>
              <w:rPr>
                <w:rFonts w:hint="default" w:ascii="Times New Roman" w:hAnsi="Times New Roman" w:eastAsia="FangSong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0"/>
                <w:szCs w:val="20"/>
              </w:rPr>
              <w:t>Q2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lang w:eastAsia="zh-CN"/>
              </w:rPr>
              <w:t>9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before="204" w:line="320" w:lineRule="auto"/>
              <w:ind w:left="105" w:right="106" w:hanging="15"/>
              <w:jc w:val="left"/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《渔业科学进展》</w:t>
            </w:r>
            <w:r>
              <w:rPr>
                <w:rFonts w:hint="default" w:ascii="Times New Roman" w:hAnsi="Times New Roman" w:eastAsia="微软雅黑" w:cs="Times New Roman"/>
                <w:spacing w:val="12"/>
                <w:sz w:val="20"/>
                <w:szCs w:val="20"/>
                <w:lang w:eastAsia="zh-CN"/>
              </w:rPr>
              <w:t>《上海海洋大学学报》《南方水产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20"/>
                <w:szCs w:val="20"/>
                <w:lang w:eastAsia="zh-CN"/>
              </w:rPr>
              <w:t>科学》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《水产科学》</w:t>
            </w:r>
            <w:r>
              <w:rPr>
                <w:rFonts w:hint="default" w:ascii="Times New Roman" w:hAnsi="Times New Roman" w:eastAsia="微软雅黑" w:cs="Times New Roman"/>
                <w:spacing w:val="6"/>
                <w:sz w:val="20"/>
                <w:szCs w:val="20"/>
                <w:lang w:eastAsia="zh-CN"/>
              </w:rPr>
              <w:t>《广东海洋大学学报》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20"/>
                <w:szCs w:val="20"/>
                <w:lang w:eastAsia="zh-CN"/>
              </w:rPr>
              <w:t>《淡水渔业》《应用海洋学学报》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0"/>
                <w:szCs w:val="20"/>
                <w:lang w:eastAsia="zh-CN"/>
              </w:rPr>
              <w:t>《集美大学学报》（自</w:t>
            </w:r>
            <w:r>
              <w:rPr>
                <w:rFonts w:hint="default" w:ascii="Times New Roman" w:hAnsi="Times New Roman" w:eastAsia="微软雅黑" w:cs="Times New Roman"/>
                <w:spacing w:val="6"/>
                <w:sz w:val="20"/>
                <w:szCs w:val="20"/>
                <w:lang w:eastAsia="zh-CN"/>
              </w:rPr>
              <w:t>然科学版）《江苏海洋大学学报》（自然科学版）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before="57" w:line="195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4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before="65" w:line="220" w:lineRule="auto"/>
              <w:jc w:val="center"/>
              <w:rPr>
                <w:rFonts w:hint="default" w:ascii="Times New Roman" w:hAnsi="Times New Roman" w:eastAsia="FangSong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0"/>
                <w:szCs w:val="20"/>
              </w:rPr>
              <w:t>Q3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lang w:eastAsia="zh-CN"/>
              </w:rPr>
              <w:t>8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《海洋渔业》《水产学杂志》《渔业现代化》《中国渔业质量与标准》《渔业研究》《渔业信息与战略》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《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 w:bidi="ar"/>
              </w:rPr>
              <w:t>Journal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 w:bidi="ar"/>
              </w:rPr>
              <w:t>of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 w:bidi="ar"/>
              </w:rPr>
              <w:t>Oceanology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 w:bidi="ar"/>
              </w:rPr>
              <w:t>and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 w:bidi="ar"/>
              </w:rPr>
              <w:t>Limnology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》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《Acta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Oceanologica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Sinica》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before="58" w:line="195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before="65" w:line="220" w:lineRule="auto"/>
              <w:jc w:val="center"/>
              <w:rPr>
                <w:rFonts w:hint="default" w:ascii="Times New Roman" w:hAnsi="Times New Roman" w:eastAsia="FangSong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0"/>
                <w:szCs w:val="20"/>
              </w:rPr>
              <w:t>Q4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:lang w:eastAsia="zh-CN"/>
              </w:rPr>
              <w:t>6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before="200" w:line="318" w:lineRule="auto"/>
              <w:ind w:left="106" w:right="106" w:hanging="16"/>
              <w:jc w:val="left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sz w:val="20"/>
                <w:szCs w:val="20"/>
              </w:rPr>
              <w:t>《浙江海洋大学学报》（自然科学版）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0"/>
                <w:szCs w:val="20"/>
              </w:rPr>
              <w:t>《水产科技情报》</w:t>
            </w:r>
            <w:r>
              <w:rPr>
                <w:rFonts w:hint="default" w:ascii="Times New Roman" w:hAnsi="Times New Roman" w:eastAsia="微软雅黑" w:cs="Times New Roman"/>
                <w:spacing w:val="8"/>
                <w:sz w:val="20"/>
                <w:szCs w:val="20"/>
              </w:rPr>
              <w:t>《河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20"/>
                <w:szCs w:val="20"/>
              </w:rPr>
              <w:t>北渔业》《水产养殖》《科学养鱼》</w:t>
            </w:r>
            <w:r>
              <w:rPr>
                <w:rFonts w:hint="default" w:ascii="Times New Roman" w:hAnsi="Times New Roman" w:eastAsia="微软雅黑" w:cs="Times New Roman"/>
                <w:spacing w:val="-11"/>
                <w:sz w:val="20"/>
                <w:szCs w:val="20"/>
              </w:rPr>
              <w:t>《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Aquaculture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and</w:t>
            </w:r>
            <w:r>
              <w:rPr>
                <w:rFonts w:hint="eastAsia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</w:rPr>
              <w:t>Fisheries</w:t>
            </w:r>
            <w:r>
              <w:rPr>
                <w:rFonts w:hint="default" w:ascii="Times New Roman" w:hAnsi="Times New Roman" w:eastAsia="微软雅黑" w:cs="Times New Roman"/>
                <w:spacing w:val="17"/>
                <w:sz w:val="20"/>
                <w:szCs w:val="20"/>
              </w:rPr>
              <w:t>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before="57" w:line="195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before="86" w:line="203" w:lineRule="auto"/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sz w:val="20"/>
                <w:szCs w:val="20"/>
              </w:rPr>
              <w:t>其他（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:lang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spacing w:val="8"/>
                <w:sz w:val="20"/>
                <w:szCs w:val="20"/>
              </w:rPr>
              <w:t>）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before="204" w:line="320" w:lineRule="auto"/>
              <w:ind w:left="105" w:right="106" w:hanging="15"/>
              <w:jc w:val="left"/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《河南水产》《黑龙江水产》《中国水产》《中国渔业经济》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uto"/>
              <w:ind w:left="108" w:right="108" w:hanging="17"/>
              <w:jc w:val="left"/>
              <w:textAlignment w:val="auto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《Water</w:t>
            </w:r>
            <w:r>
              <w:rPr>
                <w:rFonts w:hint="eastAsia" w:ascii="Times New Roman" w:hAnsi="Times New Roman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Biology</w:t>
            </w:r>
            <w:r>
              <w:rPr>
                <w:rFonts w:hint="eastAsia" w:ascii="Times New Roman" w:hAnsi="Times New Roman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and</w:t>
            </w:r>
            <w:r>
              <w:rPr>
                <w:rFonts w:hint="eastAsia" w:ascii="Times New Roman" w:hAnsi="Times New Roman" w:eastAsia="微软雅黑" w:cs="Times New Roman"/>
                <w:spacing w:val="13"/>
                <w:sz w:val="20"/>
                <w:szCs w:val="20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0"/>
                <w:szCs w:val="20"/>
                <w:lang w:eastAsia="zh-CN"/>
              </w:rPr>
              <w:t>Security》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before="58" w:line="195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9"/>
          <w:pgMar w:top="1431" w:right="1312" w:bottom="400" w:left="1228" w:header="0" w:footer="0" w:gutter="0"/>
          <w:cols w:space="720" w:num="1"/>
        </w:sectPr>
      </w:pPr>
    </w:p>
    <w:p>
      <w:pPr>
        <w:pStyle w:val="2"/>
        <w:spacing w:before="101" w:line="286" w:lineRule="auto"/>
        <w:ind w:right="384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 w:hAnsi="Calibri" w:eastAsia="宋体"/>
        <w:sz w:val="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EDF8AC9"/>
    <w:rsid w:val="3BFF6844"/>
    <w:rsid w:val="3CF5D085"/>
    <w:rsid w:val="3FE543DF"/>
    <w:rsid w:val="5B579283"/>
    <w:rsid w:val="5DFBF69D"/>
    <w:rsid w:val="7DF751A9"/>
    <w:rsid w:val="7F5F42D2"/>
    <w:rsid w:val="BCFF5D0E"/>
    <w:rsid w:val="BFFCCA6B"/>
    <w:rsid w:val="DF7E7057"/>
    <w:rsid w:val="E3F96688"/>
    <w:rsid w:val="EB4D5C77"/>
    <w:rsid w:val="EE3E8154"/>
    <w:rsid w:val="EFFEFE22"/>
    <w:rsid w:val="F772DA0A"/>
    <w:rsid w:val="FB7FB841"/>
    <w:rsid w:val="FD5E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FangSong_GB2312" w:hAnsi="FangSong_GB2312" w:eastAsia="FangSong_GB2312" w:cs="FangSong_GB2312"/>
      <w:kern w:val="2"/>
      <w:sz w:val="31"/>
      <w:szCs w:val="31"/>
      <w:lang w:val="en-US" w:eastAsia="zh-CN" w:bidi="ar-SA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9"/>
    <w:qFormat/>
    <w:uiPriority w:val="0"/>
  </w:style>
  <w:style w:type="paragraph" w:customStyle="1" w:styleId="1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754</Words>
  <Characters>854</Characters>
  <Lines>15</Lines>
  <Paragraphs>4</Paragraphs>
  <TotalTime>0</TotalTime>
  <ScaleCrop>false</ScaleCrop>
  <LinksUpToDate>false</LinksUpToDate>
  <CharactersWithSpaces>969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2019-10-27T01:34:00Z</dcterms:created>
  <dc:creator>全国水产技术推广总站</dc:creator>
  <cp:lastModifiedBy>中国水产学会</cp:lastModifiedBy>
  <cp:lastPrinted>2024-05-08T22:37:00Z</cp:lastPrinted>
  <dcterms:modified xsi:type="dcterms:W3CDTF">2024-07-11T13:45:19Z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